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rPr>
          <w:rFonts w:ascii="微软雅黑" w:hAnsi="微软雅黑" w:eastAsia="微软雅黑" w:cs="微软雅黑"/>
          <w:b/>
          <w:color w:val="000000"/>
          <w:sz w:val="36"/>
          <w:szCs w:val="36"/>
        </w:rPr>
      </w:pPr>
      <w:bookmarkStart w:id="0" w:name="_GoBack"/>
      <w:r>
        <w:rPr>
          <w:rFonts w:hint="eastAsia" w:ascii="微软雅黑" w:hAnsi="微软雅黑" w:eastAsia="微软雅黑" w:cs="微软雅黑"/>
          <w:b/>
          <w:color w:val="000000"/>
          <w:kern w:val="0"/>
          <w:sz w:val="36"/>
          <w:szCs w:val="36"/>
          <w:bdr w:val="none" w:color="auto" w:sz="0" w:space="0"/>
          <w:lang w:val="en-US" w:eastAsia="zh-CN" w:bidi="ar"/>
        </w:rPr>
        <w:t>关于开展2020年度学校各单位宣传统战工作联合检查的通知</w:t>
      </w:r>
      <w:bookmarkEnd w:id="0"/>
    </w:p>
    <w:p>
      <w:pPr>
        <w:pStyle w:val="2"/>
        <w:keepNext w:val="0"/>
        <w:keepLines w:val="0"/>
        <w:widowControl/>
        <w:suppressLineNumbers w:val="0"/>
        <w:spacing w:line="23" w:lineRule="atLeast"/>
        <w:rPr>
          <w:rFonts w:hint="eastAsia" w:ascii="宋体" w:hAnsi="宋体" w:eastAsia="宋体" w:cs="宋体"/>
          <w:sz w:val="24"/>
          <w:szCs w:val="24"/>
        </w:rPr>
      </w:pPr>
      <w:r>
        <w:rPr>
          <w:rFonts w:hint="eastAsia" w:ascii="宋体" w:hAnsi="宋体" w:eastAsia="宋体" w:cs="宋体"/>
          <w:sz w:val="32"/>
          <w:szCs w:val="32"/>
          <w:bdr w:val="none" w:color="auto" w:sz="0" w:space="0"/>
        </w:rPr>
        <w:t> </w:t>
      </w:r>
      <w:r>
        <w:rPr>
          <w:rFonts w:hint="eastAsia" w:ascii="宋体" w:hAnsi="宋体" w:eastAsia="宋体" w:cs="宋体"/>
          <w:sz w:val="24"/>
          <w:szCs w:val="24"/>
          <w:bdr w:val="none" w:color="auto" w:sz="0" w:space="0"/>
        </w:rPr>
        <w:br w:type="textWrapping"/>
      </w:r>
      <w:r>
        <w:rPr>
          <w:rFonts w:ascii="仿宋" w:hAnsi="仿宋" w:eastAsia="仿宋" w:cs="仿宋"/>
          <w:sz w:val="32"/>
          <w:szCs w:val="32"/>
          <w:bdr w:val="none" w:color="auto" w:sz="0" w:space="0"/>
        </w:rPr>
        <w:t>各党总支、直属党支部：</w:t>
      </w:r>
      <w:r>
        <w:rPr>
          <w:rFonts w:hint="eastAsia" w:ascii="仿宋" w:hAnsi="仿宋" w:eastAsia="仿宋" w:cs="仿宋"/>
          <w:sz w:val="18"/>
          <w:szCs w:val="18"/>
          <w:bdr w:val="none" w:color="auto" w:sz="0" w:space="0"/>
        </w:rPr>
        <w:br w:type="textWrapping"/>
      </w:r>
      <w:r>
        <w:rPr>
          <w:rFonts w:hint="eastAsia" w:ascii="仿宋" w:hAnsi="仿宋" w:eastAsia="仿宋" w:cs="仿宋"/>
          <w:sz w:val="32"/>
          <w:szCs w:val="32"/>
          <w:bdr w:val="none" w:color="auto" w:sz="0" w:space="0"/>
        </w:rPr>
        <w:t>    为迎接中央第六巡视组和十二届省委巡视反馈意识形态领域问题及上轮和本轮意识形态巡视反馈整改问题，为简化工作流程，提高工作效率，党委宣传统战部将汇同纪委办公室、党政办公室、党委组织部组成的联合检查组，按照11月25日校纪委下发的《关于开展检查工作的通知》规定的时间流程实地走访各单位，对以下工作进行检查，请各单位认真准备相关佐证材料。</w:t>
      </w:r>
      <w:r>
        <w:rPr>
          <w:rFonts w:hint="eastAsia" w:ascii="仿宋" w:hAnsi="仿宋" w:eastAsia="仿宋" w:cs="仿宋"/>
          <w:sz w:val="18"/>
          <w:szCs w:val="18"/>
          <w:bdr w:val="none" w:color="auto" w:sz="0" w:space="0"/>
        </w:rPr>
        <w:br w:type="textWrapping"/>
      </w:r>
      <w:r>
        <w:rPr>
          <w:rFonts w:hint="eastAsia" w:ascii="仿宋" w:hAnsi="仿宋" w:eastAsia="仿宋" w:cs="仿宋"/>
          <w:sz w:val="32"/>
          <w:szCs w:val="32"/>
          <w:bdr w:val="none" w:color="auto" w:sz="0" w:space="0"/>
        </w:rPr>
        <w:t>    一、意识形态方面内容：</w:t>
      </w:r>
      <w:r>
        <w:rPr>
          <w:rFonts w:hint="eastAsia" w:ascii="仿宋" w:hAnsi="仿宋" w:eastAsia="仿宋" w:cs="仿宋"/>
          <w:sz w:val="18"/>
          <w:szCs w:val="18"/>
          <w:bdr w:val="none" w:color="auto" w:sz="0" w:space="0"/>
        </w:rPr>
        <w:br w:type="textWrapping"/>
      </w:r>
      <w:r>
        <w:rPr>
          <w:rFonts w:hint="eastAsia" w:ascii="仿宋" w:hAnsi="仿宋" w:eastAsia="仿宋" w:cs="仿宋"/>
          <w:sz w:val="32"/>
          <w:szCs w:val="32"/>
          <w:bdr w:val="none" w:color="auto" w:sz="0" w:space="0"/>
        </w:rPr>
        <w:t>    1、按照学校党委下发的《哈尔滨体育学院意识形态工作责任制实施细则（修订）》文件，制定本部门的意识形态责任制。</w:t>
      </w:r>
      <w:r>
        <w:rPr>
          <w:rFonts w:hint="eastAsia" w:ascii="仿宋" w:hAnsi="仿宋" w:eastAsia="仿宋" w:cs="仿宋"/>
          <w:sz w:val="18"/>
          <w:szCs w:val="18"/>
          <w:bdr w:val="none" w:color="auto" w:sz="0" w:space="0"/>
        </w:rPr>
        <w:br w:type="textWrapping"/>
      </w:r>
      <w:r>
        <w:rPr>
          <w:rFonts w:hint="eastAsia" w:ascii="仿宋" w:hAnsi="仿宋" w:eastAsia="仿宋" w:cs="仿宋"/>
          <w:sz w:val="32"/>
          <w:szCs w:val="32"/>
          <w:bdr w:val="none" w:color="auto" w:sz="0" w:space="0"/>
        </w:rPr>
        <w:t>    2、按照学校下发的《哈尔滨体育学院意识形态工作重点任务清单（试用）》《哈尔滨体育学院意识形态工作责任制落实情况诊断表（试用）》等相关制度，完成落实好本部门的相关工作。</w:t>
      </w:r>
      <w:r>
        <w:rPr>
          <w:rFonts w:hint="eastAsia" w:ascii="仿宋" w:hAnsi="仿宋" w:eastAsia="仿宋" w:cs="仿宋"/>
          <w:sz w:val="18"/>
          <w:szCs w:val="18"/>
          <w:bdr w:val="none" w:color="auto" w:sz="0" w:space="0"/>
        </w:rPr>
        <w:br w:type="textWrapping"/>
      </w:r>
      <w:r>
        <w:rPr>
          <w:rFonts w:hint="eastAsia" w:ascii="仿宋" w:hAnsi="仿宋" w:eastAsia="仿宋" w:cs="仿宋"/>
          <w:sz w:val="32"/>
          <w:szCs w:val="32"/>
          <w:bdr w:val="none" w:color="auto" w:sz="0" w:space="0"/>
        </w:rPr>
        <w:t>    3、掌握了解本部门师生信教情况。</w:t>
      </w:r>
      <w:r>
        <w:rPr>
          <w:rFonts w:hint="eastAsia" w:ascii="仿宋" w:hAnsi="仿宋" w:eastAsia="仿宋" w:cs="仿宋"/>
          <w:sz w:val="18"/>
          <w:szCs w:val="18"/>
          <w:bdr w:val="none" w:color="auto" w:sz="0" w:space="0"/>
        </w:rPr>
        <w:br w:type="textWrapping"/>
      </w:r>
      <w:r>
        <w:rPr>
          <w:rFonts w:hint="eastAsia" w:ascii="仿宋" w:hAnsi="仿宋" w:eastAsia="仿宋" w:cs="仿宋"/>
          <w:sz w:val="32"/>
          <w:szCs w:val="32"/>
          <w:bdr w:val="none" w:color="auto" w:sz="0" w:space="0"/>
        </w:rPr>
        <w:t>    二、政治理论学习方面</w:t>
      </w:r>
      <w:r>
        <w:rPr>
          <w:rFonts w:hint="eastAsia" w:ascii="仿宋" w:hAnsi="仿宋" w:eastAsia="仿宋" w:cs="仿宋"/>
          <w:sz w:val="18"/>
          <w:szCs w:val="18"/>
          <w:bdr w:val="none" w:color="auto" w:sz="0" w:space="0"/>
        </w:rPr>
        <w:br w:type="textWrapping"/>
      </w:r>
      <w:r>
        <w:rPr>
          <w:rFonts w:hint="eastAsia" w:ascii="仿宋" w:hAnsi="仿宋" w:eastAsia="仿宋" w:cs="仿宋"/>
          <w:sz w:val="32"/>
          <w:szCs w:val="32"/>
          <w:bdr w:val="none" w:color="auto" w:sz="0" w:space="0"/>
        </w:rPr>
        <w:t>    1、二级理论学习中心组学习情况，包括学习计划、学习内容（《习近平谈治国理政》、党的十九届五中全会的学习等）、学习笔记、出勤情况、学习相关制度等。</w:t>
      </w:r>
      <w:r>
        <w:rPr>
          <w:rFonts w:hint="eastAsia" w:ascii="仿宋" w:hAnsi="仿宋" w:eastAsia="仿宋" w:cs="仿宋"/>
          <w:sz w:val="18"/>
          <w:szCs w:val="18"/>
          <w:bdr w:val="none" w:color="auto" w:sz="0" w:space="0"/>
        </w:rPr>
        <w:br w:type="textWrapping"/>
      </w:r>
      <w:r>
        <w:rPr>
          <w:rFonts w:hint="eastAsia" w:ascii="仿宋" w:hAnsi="仿宋" w:eastAsia="仿宋" w:cs="仿宋"/>
          <w:sz w:val="32"/>
          <w:szCs w:val="32"/>
          <w:bdr w:val="none" w:color="auto" w:sz="0" w:space="0"/>
        </w:rPr>
        <w:t>    2、运用学习平台、载体开展学习情况，将学习与教学、训练、竞赛等相结合情况，解决“学”“用”脱节的自查报告完成情况。</w:t>
      </w:r>
      <w:r>
        <w:rPr>
          <w:rFonts w:hint="eastAsia" w:ascii="仿宋" w:hAnsi="仿宋" w:eastAsia="仿宋" w:cs="仿宋"/>
          <w:sz w:val="18"/>
          <w:szCs w:val="18"/>
          <w:bdr w:val="none" w:color="auto" w:sz="0" w:space="0"/>
        </w:rPr>
        <w:br w:type="textWrapping"/>
      </w:r>
      <w:r>
        <w:rPr>
          <w:rFonts w:hint="eastAsia" w:ascii="仿宋" w:hAnsi="仿宋" w:eastAsia="仿宋" w:cs="仿宋"/>
          <w:sz w:val="32"/>
          <w:szCs w:val="32"/>
          <w:bdr w:val="none" w:color="auto" w:sz="0" w:space="0"/>
        </w:rPr>
        <w:t>    三、思想政治工作开展情况</w:t>
      </w:r>
      <w:r>
        <w:rPr>
          <w:rFonts w:hint="eastAsia" w:ascii="仿宋" w:hAnsi="仿宋" w:eastAsia="仿宋" w:cs="仿宋"/>
          <w:sz w:val="18"/>
          <w:szCs w:val="18"/>
          <w:bdr w:val="none" w:color="auto" w:sz="0" w:space="0"/>
        </w:rPr>
        <w:br w:type="textWrapping"/>
      </w:r>
      <w:r>
        <w:rPr>
          <w:rFonts w:hint="eastAsia" w:ascii="仿宋" w:hAnsi="仿宋" w:eastAsia="仿宋" w:cs="仿宋"/>
          <w:sz w:val="32"/>
          <w:szCs w:val="32"/>
          <w:bdr w:val="none" w:color="auto" w:sz="0" w:space="0"/>
        </w:rPr>
        <w:t>    1、2020年度思想政治工作开展情况总结，附照片。</w:t>
      </w:r>
      <w:r>
        <w:rPr>
          <w:rFonts w:hint="eastAsia" w:ascii="仿宋" w:hAnsi="仿宋" w:eastAsia="仿宋" w:cs="仿宋"/>
          <w:sz w:val="18"/>
          <w:szCs w:val="18"/>
          <w:bdr w:val="none" w:color="auto" w:sz="0" w:space="0"/>
        </w:rPr>
        <w:br w:type="textWrapping"/>
      </w:r>
      <w:r>
        <w:rPr>
          <w:rFonts w:hint="eastAsia" w:ascii="仿宋" w:hAnsi="仿宋" w:eastAsia="仿宋" w:cs="仿宋"/>
          <w:sz w:val="32"/>
          <w:szCs w:val="32"/>
          <w:bdr w:val="none" w:color="auto" w:sz="0" w:space="0"/>
        </w:rPr>
        <w:t>    2、各单位师生思想政治工作相关制度。</w:t>
      </w:r>
      <w:r>
        <w:rPr>
          <w:rFonts w:hint="eastAsia" w:ascii="仿宋" w:hAnsi="仿宋" w:eastAsia="仿宋" w:cs="仿宋"/>
          <w:sz w:val="18"/>
          <w:szCs w:val="18"/>
          <w:bdr w:val="none" w:color="auto" w:sz="0" w:space="0"/>
        </w:rPr>
        <w:br w:type="textWrapping"/>
      </w:r>
      <w:r>
        <w:rPr>
          <w:rFonts w:hint="eastAsia" w:ascii="仿宋" w:hAnsi="仿宋" w:eastAsia="仿宋" w:cs="仿宋"/>
          <w:sz w:val="32"/>
          <w:szCs w:val="32"/>
          <w:bdr w:val="none" w:color="auto" w:sz="0" w:space="0"/>
        </w:rPr>
        <w:t>    请各单位在检查后，将上述材料和解决“学”“用”脱节的自查报告电子版于12月5日下班前发送党委宣传统战部李晓鹏老师OA。</w:t>
      </w:r>
    </w:p>
    <w:p>
      <w:pPr>
        <w:pStyle w:val="2"/>
        <w:keepNext w:val="0"/>
        <w:keepLines w:val="0"/>
        <w:widowControl/>
        <w:suppressLineNumbers w:val="0"/>
        <w:spacing w:line="23" w:lineRule="atLeast"/>
        <w:jc w:val="right"/>
        <w:rPr>
          <w:rFonts w:hint="eastAsia" w:ascii="宋体" w:hAnsi="宋体" w:eastAsia="宋体" w:cs="宋体"/>
          <w:sz w:val="24"/>
          <w:szCs w:val="24"/>
        </w:rPr>
      </w:pPr>
      <w:r>
        <w:rPr>
          <w:rFonts w:hint="eastAsia" w:ascii="仿宋" w:hAnsi="仿宋" w:eastAsia="仿宋" w:cs="仿宋"/>
          <w:sz w:val="18"/>
          <w:szCs w:val="18"/>
          <w:bdr w:val="none" w:color="auto" w:sz="0" w:space="0"/>
        </w:rPr>
        <w:br w:type="textWrapping"/>
      </w:r>
      <w:r>
        <w:rPr>
          <w:rFonts w:hint="eastAsia" w:ascii="仿宋" w:hAnsi="仿宋" w:eastAsia="仿宋" w:cs="仿宋"/>
          <w:sz w:val="18"/>
          <w:szCs w:val="18"/>
          <w:bdr w:val="none" w:color="auto" w:sz="0" w:space="0"/>
        </w:rPr>
        <w:br w:type="textWrapping"/>
      </w:r>
      <w:r>
        <w:rPr>
          <w:rFonts w:hint="eastAsia" w:ascii="仿宋" w:hAnsi="仿宋" w:eastAsia="仿宋" w:cs="仿宋"/>
          <w:sz w:val="32"/>
          <w:szCs w:val="32"/>
          <w:bdr w:val="none" w:color="auto" w:sz="0" w:space="0"/>
        </w:rPr>
        <w:t>党委宣传统战部</w:t>
      </w:r>
      <w:r>
        <w:rPr>
          <w:rFonts w:hint="eastAsia" w:ascii="仿宋" w:hAnsi="仿宋" w:eastAsia="仿宋" w:cs="仿宋"/>
          <w:sz w:val="18"/>
          <w:szCs w:val="18"/>
          <w:bdr w:val="none" w:color="auto" w:sz="0" w:space="0"/>
        </w:rPr>
        <w:br w:type="textWrapping"/>
      </w:r>
      <w:r>
        <w:rPr>
          <w:rFonts w:hint="eastAsia" w:ascii="仿宋" w:hAnsi="仿宋" w:eastAsia="仿宋" w:cs="仿宋"/>
          <w:sz w:val="32"/>
          <w:szCs w:val="32"/>
          <w:bdr w:val="none" w:color="auto" w:sz="0" w:space="0"/>
        </w:rPr>
        <w:t>2020年11月30日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560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line="360" w:lineRule="auto"/>
      <w:ind w:left="0" w:right="0"/>
      <w:jc w:val="left"/>
    </w:pPr>
    <w:rPr>
      <w:kern w:val="0"/>
      <w:sz w:val="18"/>
      <w:szCs w:val="18"/>
      <w:lang w:val="en-US" w:eastAsia="zh-CN" w:bidi="ar"/>
    </w:rPr>
  </w:style>
  <w:style w:type="character" w:styleId="5">
    <w:name w:val="FollowedHyperlink"/>
    <w:basedOn w:val="4"/>
    <w:uiPriority w:val="0"/>
    <w:rPr>
      <w:color w:val="0657AB"/>
      <w:u w:val="none"/>
    </w:rPr>
  </w:style>
  <w:style w:type="character" w:styleId="6">
    <w:name w:val="Hyperlink"/>
    <w:basedOn w:val="4"/>
    <w:uiPriority w:val="0"/>
    <w:rPr>
      <w:color w:val="0657AB"/>
      <w:u w:val="none"/>
    </w:rPr>
  </w:style>
  <w:style w:type="character" w:customStyle="1" w:styleId="7">
    <w:name w:val="l-btn-left"/>
    <w:basedOn w:val="4"/>
    <w:uiPriority w:val="0"/>
    <w:rPr>
      <w:bdr w:val="none" w:color="auto" w:sz="0" w:space="0"/>
    </w:rPr>
  </w:style>
  <w:style w:type="character" w:customStyle="1" w:styleId="8">
    <w:name w:val="l-btn-left1"/>
    <w:basedOn w:val="4"/>
    <w:uiPriority w:val="0"/>
    <w:rPr>
      <w:bdr w:val="none" w:color="auto" w:sz="0" w:space="0"/>
    </w:rPr>
  </w:style>
  <w:style w:type="character" w:customStyle="1" w:styleId="9">
    <w:name w:val="l-btn-left2"/>
    <w:basedOn w:val="4"/>
    <w:uiPriority w:val="0"/>
  </w:style>
  <w:style w:type="character" w:customStyle="1" w:styleId="10">
    <w:name w:val="l-btn-left3"/>
    <w:basedOn w:val="4"/>
    <w:uiPriority w:val="0"/>
  </w:style>
  <w:style w:type="character" w:customStyle="1" w:styleId="11">
    <w:name w:val="on"/>
    <w:basedOn w:val="4"/>
    <w:uiPriority w:val="0"/>
    <w:rPr>
      <w:vanish/>
      <w:shd w:val="clear" w:fill="FFFFFF"/>
    </w:rPr>
  </w:style>
  <w:style w:type="character" w:customStyle="1" w:styleId="12">
    <w:name w:val="l-btn-empty"/>
    <w:basedOn w:val="4"/>
    <w:uiPriority w:val="0"/>
    <w:rPr>
      <w:bdr w:val="none" w:color="auto" w:sz="0" w:space="0"/>
    </w:rPr>
  </w:style>
  <w:style w:type="character" w:customStyle="1" w:styleId="13">
    <w:name w:val="l-btn-icon-right"/>
    <w:basedOn w:val="4"/>
    <w:uiPriority w:val="0"/>
    <w:rPr>
      <w:bdr w:val="none" w:color="auto" w:sz="0" w:space="0"/>
    </w:rPr>
  </w:style>
  <w:style w:type="character" w:customStyle="1" w:styleId="14">
    <w:name w:val="l-btn-icon-left"/>
    <w:basedOn w:val="4"/>
    <w:uiPriority w:val="0"/>
    <w:rPr>
      <w:bdr w:val="none" w:color="auto" w:sz="0" w:space="0"/>
    </w:rPr>
  </w:style>
  <w:style w:type="character" w:customStyle="1" w:styleId="15">
    <w:name w:val="l-btn-text"/>
    <w:basedOn w:val="4"/>
    <w:uiPriority w:val="0"/>
    <w:rPr>
      <w:sz w:val="18"/>
      <w:szCs w:val="18"/>
      <w:bdr w:val="none" w:color="auto" w:sz="0" w:space="0"/>
      <w:vertAlign w:val="baselin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XUANCHUANBU</dc:creator>
  <lastModifiedBy>徐召阳</lastModifiedBy>
  <dcterms:modified xsi:type="dcterms:W3CDTF">2021-01-07T03:46:35Z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