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关于开展全省“迎庆党的二十大胜利召开”主题优秀网络视听作品征集展播活动的补充通知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各党总支、直属党支部：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报送作品的单位（个人）除按照《关于开展全省“迎庆党的二十大胜利召开”主题优秀网络视听作品征集展播活动的通知》要求提交作品外，还需填写“全省‘迎庆党的二十大胜利召开’主题优秀网络视听作品征集展播活动统计表”（附件1），统计表发送至htyxctzb123@163.com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全省“迎庆党的二十大胜利召开”主题优秀网络视听作品征集展播活动统计表</w:t>
      </w:r>
    </w:p>
    <w:tbl>
      <w:tblPr>
        <w:tblStyle w:val="3"/>
        <w:tblpPr w:leftFromText="180" w:rightFromText="180" w:vertAnchor="text" w:horzAnchor="page" w:tblpX="2202" w:tblpY="4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374"/>
        <w:gridCol w:w="1349"/>
        <w:gridCol w:w="1217"/>
        <w:gridCol w:w="1380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74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349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74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74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                                    宣传统战部</w:t>
      </w:r>
    </w:p>
    <w:p>
      <w:pPr>
        <w:jc w:val="right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2022年7月29日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69891F83"/>
    <w:rsid w:val="69891F83"/>
    <w:rsid w:val="69EB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261</Characters>
  <Lines>0</Lines>
  <Paragraphs>0</Paragraphs>
  <TotalTime>5</TotalTime>
  <ScaleCrop>false</ScaleCrop>
  <LinksUpToDate>false</LinksUpToDate>
  <CharactersWithSpaces>298</CharactersWithSpaces>
  <Application>WPS Office_11.1.0.11875_F1E327BC-269C-435d-A152-05C5408002CA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2022-07-29T06:24:00Z</dcterms:created>
  <dc:creator>付凯迪</dc:creator>
  <lastModifiedBy>付凯迪</lastModifiedBy>
  <dcterms:modified xsi:type="dcterms:W3CDTF">2022-07-29T06:38:27Z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147282BC0A0D4B05B71BE2E7B00FEE9D</vt:lpwstr>
  </property>
</Properties>
</file>