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450" w:beforeAutospacing="0" w:line="390" w:lineRule="atLeast"/>
        <w:ind w:left="0" w:firstLine="0"/>
        <w:jc w:val="center"/>
        <w:rPr>
          <w:rFonts w:hint="eastAsia" w:asciiTheme="majorEastAsia" w:hAnsiTheme="majorEastAsia" w:eastAsiaTheme="majorEastAsia" w:cstheme="majorEastAsia"/>
          <w:b/>
          <w:bCs w:val="0"/>
          <w:i w:val="0"/>
          <w:caps w:val="0"/>
          <w:color w:val="333333"/>
          <w:spacing w:val="0"/>
          <w:kern w:val="0"/>
          <w:sz w:val="44"/>
          <w:szCs w:val="44"/>
          <w:lang w:val="en-US" w:eastAsia="zh-CN" w:bidi="ar"/>
        </w:rPr>
      </w:pPr>
      <w:r>
        <w:rPr>
          <w:rFonts w:hint="eastAsia" w:asciiTheme="majorEastAsia" w:hAnsiTheme="majorEastAsia" w:eastAsiaTheme="majorEastAsia" w:cstheme="majorEastAsia"/>
          <w:b/>
          <w:bCs w:val="0"/>
          <w:i w:val="0"/>
          <w:caps w:val="0"/>
          <w:color w:val="333333"/>
          <w:spacing w:val="0"/>
          <w:kern w:val="0"/>
          <w:sz w:val="44"/>
          <w:szCs w:val="44"/>
          <w:lang w:val="en-US" w:eastAsia="zh-CN" w:bidi="ar"/>
        </w:rPr>
        <w:t>中华人民共和国反间谍法</w:t>
      </w:r>
    </w:p>
    <w:p>
      <w:pPr>
        <w:keepNext w:val="0"/>
        <w:keepLines w:val="0"/>
        <w:widowControl/>
        <w:suppressLineNumbers w:val="0"/>
        <w:spacing w:before="450" w:beforeAutospacing="0" w:line="390" w:lineRule="atLeast"/>
        <w:ind w:left="0" w:firstLine="0"/>
        <w:jc w:val="center"/>
        <w:rPr>
          <w:rFonts w:hint="default" w:asciiTheme="majorEastAsia" w:hAnsiTheme="majorEastAsia" w:eastAsiaTheme="majorEastAsia" w:cstheme="majorEastAsia"/>
          <w:b/>
          <w:bCs w:val="0"/>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为了防范、制止和惩治间谍行为，维护国家安全，根据宪法，制定本法。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反间谍工作坚持中央统一领导，坚持公开工作与秘密工作相结合、专门工作与群众路线相结合、积极防御、依法惩治的原则。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国家安全机关是反间谍工作的主管机关。 公安、保密行政管理等其他有关部门和军队有关部门按照职责分工，密切配合，加强协调，依法做好有关工作。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中华人民共和国公民有维护国家的安全、荣誉和利益的义务，不得有危害国家的安全、荣誉和利益的行为。 一切国家机关和武装力量、各政党和各社会团体及各企业事业组织，都有防范、制止间谍行为，维护国家安全的义务。 国家安全机关在反间谍工作中必须依靠人民的支持，动员、组织人民防范、制止危害国家安全的间谍行为。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反间谍工作应当依法进行，尊重和保障人权，保障公民和组织的合法权益。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境外机构、组织、个人实施或者指使、资助他人实施的，或者境内机构、组织、个人与境外机构、组织、个人相勾结实施的危害中华人民共和国国家安全的间谍行为，都必须受到法律追究。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国家对支持、协助反间谍工作的组织和个人给予保护，对有重大贡献的给予奖励。</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第二章　国家安全机关在反间谍工作中的职权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国家安全机关在反间谍工作中依法行使侦查、拘留、预审和执行逮捕以及法律规定的其他职权。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国家安全机关的工作人员依法执行任务时，依照规定出示相应证件，有权查验中国公民或者境外人员的身份证明，向有关组织和人员调查、询问有关情况。</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国家安全机关的工作人员在依法执行紧急任务的情况下，经出示相应证件，可以优先乘坐公共交通工具，遇交通阻碍时，优先通行。 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国家安全机关因侦察间谍行为的需要，根据国家有关规定，经过严格的批准手续，可以采取技术侦察措施。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 对依照前款规定查封、扣押的设备、设施，在危害国家安全的情形消除后，国家安全机关应当及时解除查封、扣押。</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国家安全机关因反间谍工作需要，根据国家有关规定，可以提请海关、边防等检查机关对有关人员和资料、器材免检。有关检查机关应当予以协助。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国家安全机关对用于间谍行为的工具和其他财物，以及用于资助间谍行为的资金、场所、物资，经设区的市级以上国家安全机关负责人批准，可以依法查封、扣押、冻结。</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国家安全机关根据反间谍工作需要，可以会同有关部门制定反间谍技术防范标准，指导有关部门落实反间谍技术防范措施，对存在隐患的部门，经过严格的批准手续，可以进行反间谍技术防范检查和检测。</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国家安全机关及其工作人员在工作中，应当严格依法办事，不得超越职权、滥用职权，不得侵犯组织和个人的合法权益。 国家安全机关及其工作人员依法履行反间谍工作职责获取的组织和个人的信息、材料，只能用于反间谍工作。对属于国家秘密、商业秘密和个人隐私的，应当保密。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国家安全机关工作人员依法执行职务受法律保护。</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第三章　公民和组织的义务和权利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机关、团体和其他组织应当对本单位的人员进行维护国家安全的教育，动员、组织本单位的人员防范、制止间谍行为。</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公民和组织应当为反间谍工作提供便利或者其他协助。 因协助反间谍工作，本人或者其近亲属的人身安全面临危险的，可以向国家安全机关请求予以保护。国家安全机关应当会同有关部门依法采取保护措施。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公民和组织发现间谍行为，应当及时向国家安全机关报告；向公安机关等其他国家机关、组织报告的，相关国家机关、组织应当立即移送国家安全机关处理。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在国家安全机关调查了解有关间谍行为的情况、收集有关证据时，有关组织和个人应当如实提供，不得拒绝。</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任何公民和组织都应当保守所知悉的有关反间谍工作的国家秘密。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任何个人和组织都不得非法持有属于国家秘密的文件、资料和其他物品。</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任何个人和组织都不得非法持有、使用间谍活动特殊需要的专用间谍器材。专用间谍器材由国务院国家安全主管部门依照国家有关规定确认。</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 对协助国家安全机关工作或者依法检举、控告的个人和组织，任何个人和组织不得压制和打击报复。</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境外机构、组织、个人实施或者指使、资助他人实施，或者境内机构、组织、个人与境外机构、组织、个人相勾结实施间谍行为，构成犯罪的，依法追究刑事责任。 实施间谍行为，有自首或者立功表现的，可以从轻、减轻或者免除处罚；有重大立功表现的，给予奖励。</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以暴力、威胁方法阻碍国家安全机关依法执行任务的，依法追究刑事责任。 故意阻碍国家安全机关依法执行任务，未使用暴力、威胁方法，造成严重后果的，依法追究刑事责任；情节较轻的，由国家安全机关处十五日以下行政拘留。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泄露有关反间谍工作的国家秘密的，由国家安全机关处十五日以下行政拘留；构成犯罪的，依法追究刑事责任。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隐藏、转移、变卖、损毁国家安全机关依法查封、扣押、冻结的财物的，或者明知是间谍活动的涉案财物而窝藏、转移、收购、代为销售或者以其他方法掩饰、隐瞒的，由国家安全机关追回。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境外人员违反本法的，可以限期离境或者驱逐出境。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当事人对行政处罚决定、行政强制措施决定不服的，可以自接到决定书之日起六十日内，向作出决定的上一级机关申请复议；对复议决定不服的，可以自接到复议决定书之日起十五日内向人民法院提起诉讼。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国家安全机关对依照本法查封、扣押、冻结的财物，应当妥善保管，并按照下列情形分别处理： （一）涉嫌犯罪的，依照刑事诉讼法的规定处理； （二）尚不构成犯罪，有违法事实的，对依法应当没收的予以没收，依法应当销毁的予以销毁； （三）没有违法事实的，或者与案件无关的，应当解除查封、扣押、冻结，并及时返还相关财物；造成损失的，应当依法赔偿。 国家安全机关没收的财物，一律上缴国库。</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国家安全机关工作人员滥用职权、玩忽职守、徇私舞弊，构成犯罪的，或者有非法拘禁、刑讯逼供、暴力取证、违反规定泄露国家秘密、商业秘密和个人隐私等行为，构成犯罪的，依法追究刑事责任。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bookmarkStart w:id="0" w:name="_GoBack"/>
      <w:r>
        <w:rPr>
          <w:rFonts w:hint="eastAsia" w:ascii="仿宋" w:hAnsi="仿宋" w:eastAsia="仿宋" w:cs="仿宋"/>
          <w:b/>
          <w:i w:val="0"/>
          <w:caps w:val="0"/>
          <w:color w:val="000000"/>
          <w:spacing w:val="0"/>
          <w:kern w:val="0"/>
          <w:sz w:val="34"/>
          <w:szCs w:val="34"/>
          <w:bdr w:val="none" w:color="auto" w:sz="0" w:space="0"/>
          <w:lang w:val="en-US" w:eastAsia="zh-CN" w:bidi="ar"/>
        </w:rPr>
        <w:t>第五章　附则</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本法所称间谍行为，是指下列行为： （一）间谍组织及其代理人实施或者指使、资助他人实施，或者境内外机构、组织、个人与其相勾结实施的危害中华人民共和国国家安全的活动； （二）参加间谍组织或者接受间谍组织及其代理人的任务的； （三）间谍组织及其代理人以外的其他境外机构、组织、个人实施或者指使、资助他人实施，或者境内机构、组织、个人与其相勾结实施的窃取、刺探、收买或者非法提供国家秘密或者情报，或者策动、引诱、收买国家工作人员叛变的活动； （四）为敌人指示攻击目标的； （五）进行其他间谍活动的。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国家安全机关、公安机关依照法律、行政法规和国家有关规定，履行防范、制止和惩治间谍行为以外的其他危害国家安全行为的职责，适用本法的有关规定。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本法自公布之日起施行。1993年2月22日第七届全国人民代表大会常务委员会第三十次会议通过的《中华人民共和国国家安全法》同时废止。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E4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2020-04-02T03:07:53Z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